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340"/>
        <w:gridCol w:w="7098"/>
        <w:gridCol w:w="1452"/>
      </w:tblGrid>
      <w:tr w:rsidR="00D374A6" w:rsidTr="00797B0F">
        <w:tblPrEx>
          <w:tblCellMar>
            <w:top w:w="0" w:type="dxa"/>
            <w:bottom w:w="0" w:type="dxa"/>
          </w:tblCellMar>
        </w:tblPrEx>
        <w:trPr>
          <w:trHeight w:val="990"/>
          <w:jc w:val="center"/>
        </w:trPr>
        <w:tc>
          <w:tcPr>
            <w:tcW w:w="2340" w:type="dxa"/>
          </w:tcPr>
          <w:p w:rsidR="00D374A6" w:rsidRDefault="008F290B" w:rsidP="00D374A6">
            <w:pPr>
              <w:ind w:left="522"/>
              <w:jc w:val="center"/>
              <w:rPr>
                <w:sz w:val="24"/>
              </w:rPr>
            </w:pPr>
            <w:r>
              <w:rPr>
                <w:noProof/>
                <w:spacing w:val="-2"/>
              </w:rPr>
              <w:drawing>
                <wp:inline distT="0" distB="0" distL="0" distR="0">
                  <wp:extent cx="812800" cy="723900"/>
                  <wp:effectExtent l="19050" t="0" r="635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12800" cy="723900"/>
                          </a:xfrm>
                          <a:prstGeom prst="rect">
                            <a:avLst/>
                          </a:prstGeom>
                          <a:noFill/>
                          <a:ln w="9525">
                            <a:noFill/>
                            <a:miter lim="800000"/>
                            <a:headEnd/>
                            <a:tailEnd/>
                          </a:ln>
                        </pic:spPr>
                      </pic:pic>
                    </a:graphicData>
                  </a:graphic>
                </wp:inline>
              </w:drawing>
            </w:r>
          </w:p>
        </w:tc>
        <w:tc>
          <w:tcPr>
            <w:tcW w:w="7098" w:type="dxa"/>
          </w:tcPr>
          <w:p w:rsidR="00D374A6" w:rsidRDefault="00D374A6" w:rsidP="00D374A6">
            <w:pPr>
              <w:suppressAutoHyphens/>
              <w:spacing w:line="204" w:lineRule="auto"/>
              <w:jc w:val="center"/>
              <w:rPr>
                <w:rFonts w:ascii="Arial" w:hAnsi="Arial"/>
                <w:color w:val="000080"/>
                <w:spacing w:val="-3"/>
                <w:sz w:val="26"/>
              </w:rPr>
            </w:pPr>
          </w:p>
          <w:p w:rsidR="00D374A6" w:rsidRDefault="00D374A6" w:rsidP="00D374A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374A6" w:rsidRDefault="00D374A6" w:rsidP="00D374A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374A6" w:rsidRDefault="00D374A6" w:rsidP="00D374A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374A6" w:rsidRDefault="00D374A6" w:rsidP="00D374A6">
            <w:pPr>
              <w:jc w:val="center"/>
              <w:rPr>
                <w:rFonts w:ascii="Arial" w:hAnsi="Arial"/>
                <w:sz w:val="12"/>
              </w:rPr>
            </w:pPr>
          </w:p>
          <w:p w:rsidR="00D374A6" w:rsidRDefault="00D374A6" w:rsidP="00D374A6">
            <w:pPr>
              <w:jc w:val="center"/>
              <w:rPr>
                <w:rFonts w:ascii="Arial" w:hAnsi="Arial"/>
                <w:sz w:val="12"/>
              </w:rPr>
            </w:pPr>
          </w:p>
          <w:p w:rsidR="00D374A6" w:rsidRDefault="00D374A6" w:rsidP="00D374A6">
            <w:pPr>
              <w:jc w:val="center"/>
              <w:rPr>
                <w:rFonts w:ascii="Arial" w:hAnsi="Arial"/>
                <w:sz w:val="12"/>
              </w:rPr>
            </w:pPr>
          </w:p>
          <w:p w:rsidR="00D374A6" w:rsidRDefault="00D374A6" w:rsidP="00D374A6">
            <w:pPr>
              <w:jc w:val="center"/>
              <w:rPr>
                <w:rFonts w:ascii="Arial" w:hAnsi="Arial"/>
                <w:sz w:val="12"/>
              </w:rPr>
            </w:pPr>
            <w:r>
              <w:rPr>
                <w:rFonts w:ascii="Arial" w:hAnsi="Arial"/>
                <w:b/>
                <w:spacing w:val="-1"/>
                <w:sz w:val="12"/>
              </w:rPr>
              <w:t>IN REPLY PLEASE REFER TO OUR FILE</w:t>
            </w:r>
          </w:p>
        </w:tc>
      </w:tr>
    </w:tbl>
    <w:p w:rsidR="00923E3E" w:rsidRPr="008F290B" w:rsidRDefault="00923E3E" w:rsidP="00923E3E">
      <w:pPr>
        <w:tabs>
          <w:tab w:val="right" w:pos="10800"/>
        </w:tabs>
        <w:jc w:val="center"/>
        <w:rPr>
          <w:sz w:val="22"/>
          <w:szCs w:val="22"/>
        </w:rPr>
      </w:pPr>
      <w:r w:rsidRPr="008F290B">
        <w:rPr>
          <w:sz w:val="22"/>
          <w:szCs w:val="22"/>
        </w:rPr>
        <w:t>March 21, 2011</w:t>
      </w:r>
    </w:p>
    <w:p w:rsidR="00D374A6" w:rsidRPr="008F290B" w:rsidRDefault="00D374A6">
      <w:pPr>
        <w:tabs>
          <w:tab w:val="right" w:pos="10800"/>
        </w:tabs>
        <w:jc w:val="both"/>
        <w:rPr>
          <w:rFonts w:ascii="Impact" w:hAnsi="Impact"/>
          <w:sz w:val="22"/>
          <w:szCs w:val="22"/>
        </w:rPr>
      </w:pPr>
      <w:r w:rsidRPr="008F290B">
        <w:rPr>
          <w:sz w:val="22"/>
          <w:szCs w:val="22"/>
        </w:rPr>
        <w:tab/>
      </w:r>
    </w:p>
    <w:p w:rsidR="00D374A6" w:rsidRPr="008F290B" w:rsidRDefault="00923E3E" w:rsidP="00797B0F">
      <w:pPr>
        <w:ind w:left="432" w:right="720"/>
        <w:jc w:val="right"/>
        <w:rPr>
          <w:sz w:val="22"/>
          <w:szCs w:val="22"/>
        </w:rPr>
      </w:pP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r>
      <w:r w:rsidRPr="008F290B">
        <w:rPr>
          <w:sz w:val="22"/>
          <w:szCs w:val="22"/>
        </w:rPr>
        <w:tab/>
        <w:t>A-2009-2137583</w:t>
      </w:r>
    </w:p>
    <w:p w:rsidR="00797B0F" w:rsidRPr="008F290B" w:rsidRDefault="00797B0F" w:rsidP="00134B90">
      <w:pPr>
        <w:ind w:left="432" w:right="720"/>
        <w:rPr>
          <w:rFonts w:ascii="Courier New" w:hAnsi="Courier New"/>
          <w:sz w:val="22"/>
          <w:szCs w:val="22"/>
        </w:rPr>
      </w:pPr>
    </w:p>
    <w:p w:rsidR="00134B90" w:rsidRPr="008F290B" w:rsidRDefault="00923E3E" w:rsidP="00134B90">
      <w:pPr>
        <w:ind w:left="432" w:right="720"/>
        <w:rPr>
          <w:rFonts w:ascii="Courier New" w:hAnsi="Courier New"/>
          <w:sz w:val="22"/>
          <w:szCs w:val="22"/>
        </w:rPr>
      </w:pPr>
      <w:r w:rsidRPr="008F290B">
        <w:rPr>
          <w:rFonts w:ascii="Courier New" w:hAnsi="Courier New"/>
          <w:sz w:val="22"/>
          <w:szCs w:val="22"/>
        </w:rPr>
        <w:t>RECORDER OF DEEDS</w:t>
      </w:r>
    </w:p>
    <w:p w:rsidR="00923E3E" w:rsidRPr="008F290B" w:rsidRDefault="00923E3E" w:rsidP="00134B90">
      <w:pPr>
        <w:ind w:left="432" w:right="720"/>
        <w:rPr>
          <w:rFonts w:ascii="Courier New" w:hAnsi="Courier New"/>
          <w:sz w:val="22"/>
          <w:szCs w:val="22"/>
        </w:rPr>
      </w:pPr>
      <w:r w:rsidRPr="008F290B">
        <w:rPr>
          <w:rFonts w:ascii="Courier New" w:hAnsi="Courier New"/>
          <w:sz w:val="22"/>
          <w:szCs w:val="22"/>
        </w:rPr>
        <w:t>FRANKLIN COUNTY</w:t>
      </w:r>
    </w:p>
    <w:p w:rsidR="00923E3E" w:rsidRPr="008F290B" w:rsidRDefault="00923E3E" w:rsidP="00134B90">
      <w:pPr>
        <w:ind w:left="432" w:right="720"/>
        <w:rPr>
          <w:rFonts w:ascii="Courier New" w:hAnsi="Courier New"/>
          <w:sz w:val="22"/>
          <w:szCs w:val="22"/>
        </w:rPr>
      </w:pPr>
      <w:r w:rsidRPr="008F290B">
        <w:rPr>
          <w:rFonts w:ascii="Courier New" w:hAnsi="Courier New"/>
          <w:sz w:val="22"/>
          <w:szCs w:val="22"/>
        </w:rPr>
        <w:t>COUNTY COURTHOUSE</w:t>
      </w:r>
    </w:p>
    <w:p w:rsidR="00923E3E" w:rsidRPr="008F290B" w:rsidRDefault="00923E3E" w:rsidP="00134B90">
      <w:pPr>
        <w:ind w:left="432" w:right="720"/>
        <w:rPr>
          <w:rFonts w:ascii="Courier New" w:hAnsi="Courier New"/>
          <w:sz w:val="22"/>
          <w:szCs w:val="22"/>
        </w:rPr>
      </w:pPr>
      <w:r w:rsidRPr="008F290B">
        <w:rPr>
          <w:rFonts w:ascii="Courier New" w:hAnsi="Courier New"/>
          <w:sz w:val="22"/>
          <w:szCs w:val="22"/>
        </w:rPr>
        <w:t>157 LINCOLN WAY EAST</w:t>
      </w:r>
    </w:p>
    <w:p w:rsidR="00923E3E" w:rsidRPr="008F290B" w:rsidRDefault="00923E3E" w:rsidP="00134B90">
      <w:pPr>
        <w:ind w:left="432" w:right="720"/>
        <w:rPr>
          <w:rFonts w:ascii="Courier New" w:hAnsi="Courier New"/>
          <w:sz w:val="22"/>
          <w:szCs w:val="22"/>
        </w:rPr>
      </w:pPr>
      <w:r w:rsidRPr="008F290B">
        <w:rPr>
          <w:rFonts w:ascii="Courier New" w:hAnsi="Courier New"/>
          <w:sz w:val="22"/>
          <w:szCs w:val="22"/>
        </w:rPr>
        <w:t>CHAMBERSBURG  PA  17201</w:t>
      </w:r>
    </w:p>
    <w:p w:rsidR="00797B0F" w:rsidRPr="008F290B" w:rsidRDefault="00797B0F" w:rsidP="007A70F8">
      <w:pPr>
        <w:ind w:left="432" w:right="720"/>
        <w:jc w:val="center"/>
        <w:rPr>
          <w:i/>
          <w:sz w:val="22"/>
          <w:szCs w:val="22"/>
        </w:rPr>
      </w:pPr>
    </w:p>
    <w:p w:rsidR="00D374A6" w:rsidRPr="008F290B" w:rsidRDefault="00923E3E" w:rsidP="00923E3E">
      <w:pPr>
        <w:ind w:left="432" w:right="720"/>
        <w:rPr>
          <w:sz w:val="22"/>
          <w:szCs w:val="22"/>
        </w:rPr>
      </w:pPr>
      <w:r w:rsidRPr="008F290B">
        <w:rPr>
          <w:sz w:val="22"/>
          <w:szCs w:val="22"/>
        </w:rPr>
        <w:t>Application of the Department of Transportation of the Commonwealth of Pennsylvania for the approval to replace the existing superstructure of the bridge carrying SR 0316 over the two tracks of the Norfolk Southern Railway Company (DOT 534 628 U) in the Borough of Chambersburg, Franklin County; and the allocation of costs incident thereto.</w:t>
      </w:r>
    </w:p>
    <w:p w:rsidR="00797B0F" w:rsidRPr="008F290B" w:rsidRDefault="00797B0F" w:rsidP="007A70F8">
      <w:pPr>
        <w:ind w:left="432" w:right="720"/>
        <w:jc w:val="center"/>
        <w:rPr>
          <w:i/>
          <w:sz w:val="22"/>
          <w:szCs w:val="22"/>
        </w:rPr>
      </w:pPr>
    </w:p>
    <w:p w:rsidR="00D374A6" w:rsidRPr="008F290B" w:rsidRDefault="00D374A6">
      <w:pPr>
        <w:ind w:left="432" w:right="720"/>
        <w:jc w:val="both"/>
        <w:rPr>
          <w:sz w:val="22"/>
          <w:szCs w:val="22"/>
        </w:rPr>
      </w:pPr>
      <w:r w:rsidRPr="008F290B">
        <w:rPr>
          <w:sz w:val="22"/>
          <w:szCs w:val="22"/>
        </w:rPr>
        <w:t>To Whom It May Concern:</w:t>
      </w:r>
    </w:p>
    <w:p w:rsidR="00D374A6" w:rsidRPr="008F290B" w:rsidRDefault="00D374A6">
      <w:pPr>
        <w:ind w:left="432" w:right="720"/>
        <w:jc w:val="both"/>
        <w:rPr>
          <w:sz w:val="22"/>
          <w:szCs w:val="22"/>
        </w:rPr>
      </w:pPr>
    </w:p>
    <w:p w:rsidR="00D374A6" w:rsidRPr="008F290B" w:rsidRDefault="00D374A6">
      <w:pPr>
        <w:ind w:left="432" w:right="720"/>
        <w:jc w:val="both"/>
        <w:rPr>
          <w:sz w:val="22"/>
          <w:szCs w:val="22"/>
        </w:rPr>
      </w:pPr>
      <w:r w:rsidRPr="008F290B">
        <w:rPr>
          <w:sz w:val="22"/>
          <w:szCs w:val="22"/>
        </w:rPr>
        <w:t xml:space="preserve">     Enclosed, herewith, is a certified copy of an excerpt of the Commission order of </w:t>
      </w:r>
      <w:r w:rsidR="00923E3E" w:rsidRPr="008F290B">
        <w:rPr>
          <w:sz w:val="22"/>
          <w:szCs w:val="22"/>
        </w:rPr>
        <w:t>March 17, 2011</w:t>
      </w:r>
      <w:r w:rsidRPr="008F290B">
        <w:rPr>
          <w:sz w:val="22"/>
          <w:szCs w:val="22"/>
        </w:rPr>
        <w:t xml:space="preserve"> the above case, appropriating certain lands in the County of </w:t>
      </w:r>
      <w:r w:rsidR="008F290B" w:rsidRPr="008F290B">
        <w:rPr>
          <w:sz w:val="22"/>
          <w:szCs w:val="22"/>
        </w:rPr>
        <w:t>Franklin</w:t>
      </w:r>
      <w:r w:rsidR="007A70F8" w:rsidRPr="008F290B">
        <w:rPr>
          <w:sz w:val="22"/>
          <w:szCs w:val="22"/>
        </w:rPr>
        <w:t xml:space="preserve"> </w:t>
      </w:r>
      <w:r w:rsidRPr="008F290B">
        <w:rPr>
          <w:sz w:val="22"/>
          <w:szCs w:val="22"/>
        </w:rPr>
        <w:t>said lands being described by metes and bounds</w:t>
      </w:r>
    </w:p>
    <w:p w:rsidR="00D374A6" w:rsidRPr="008F290B" w:rsidRDefault="00D374A6">
      <w:pPr>
        <w:ind w:left="432" w:right="720"/>
        <w:jc w:val="both"/>
        <w:rPr>
          <w:sz w:val="22"/>
          <w:szCs w:val="22"/>
        </w:rPr>
      </w:pPr>
    </w:p>
    <w:p w:rsidR="00D374A6" w:rsidRPr="008F290B" w:rsidRDefault="00D374A6">
      <w:pPr>
        <w:ind w:left="432" w:right="720"/>
        <w:jc w:val="both"/>
        <w:rPr>
          <w:sz w:val="22"/>
          <w:szCs w:val="22"/>
        </w:rPr>
      </w:pPr>
      <w:r w:rsidRPr="008F290B">
        <w:rPr>
          <w:sz w:val="22"/>
          <w:szCs w:val="22"/>
        </w:rPr>
        <w:t xml:space="preserve">     The provisions of Section 2702(d) of the Public Utility Code require that:</w:t>
      </w:r>
    </w:p>
    <w:p w:rsidR="00D374A6" w:rsidRPr="008F290B" w:rsidRDefault="00D374A6">
      <w:pPr>
        <w:ind w:left="432" w:right="720"/>
        <w:jc w:val="both"/>
        <w:rPr>
          <w:sz w:val="22"/>
          <w:szCs w:val="22"/>
        </w:rPr>
      </w:pPr>
    </w:p>
    <w:p w:rsidR="00D374A6" w:rsidRPr="008F290B" w:rsidRDefault="00D374A6" w:rsidP="00797B0F">
      <w:pPr>
        <w:pStyle w:val="Heading2"/>
        <w:ind w:right="1800"/>
        <w:rPr>
          <w:b w:val="0"/>
          <w:sz w:val="22"/>
          <w:szCs w:val="22"/>
        </w:rPr>
      </w:pPr>
      <w:r w:rsidRPr="008F290B">
        <w:rPr>
          <w:b w:val="0"/>
          <w:sz w:val="22"/>
          <w:szCs w:val="22"/>
        </w:rPr>
        <w:t>"The Commission shall file with the recorder of deeds of the proper</w:t>
      </w:r>
      <w:r w:rsidR="00797B0F" w:rsidRPr="008F290B">
        <w:rPr>
          <w:b w:val="0"/>
          <w:sz w:val="22"/>
          <w:szCs w:val="22"/>
        </w:rPr>
        <w:t xml:space="preserve"> </w:t>
      </w:r>
      <w:r w:rsidRPr="008F290B">
        <w:rPr>
          <w:b w:val="0"/>
          <w:sz w:val="22"/>
          <w:szCs w:val="22"/>
        </w:rPr>
        <w:t>county, a copy of that portion of the property and such plans and other detailed information as the Commission may deem necessary.  Such portion of the Commission's order dealing with the specific</w:t>
      </w:r>
      <w:r w:rsidR="00797B0F" w:rsidRPr="008F290B">
        <w:rPr>
          <w:b w:val="0"/>
          <w:sz w:val="22"/>
          <w:szCs w:val="22"/>
        </w:rPr>
        <w:t xml:space="preserve"> </w:t>
      </w:r>
      <w:r w:rsidRPr="008F290B">
        <w:rPr>
          <w:b w:val="0"/>
          <w:sz w:val="22"/>
          <w:szCs w:val="22"/>
        </w:rPr>
        <w:t>property appropriated shall be recorded and indexed under the name or names of the record owners of such specific property at</w:t>
      </w:r>
      <w:r w:rsidR="00797B0F" w:rsidRPr="008F290B">
        <w:rPr>
          <w:b w:val="0"/>
          <w:sz w:val="22"/>
          <w:szCs w:val="22"/>
        </w:rPr>
        <w:t xml:space="preserve"> </w:t>
      </w:r>
      <w:r w:rsidRPr="008F290B">
        <w:rPr>
          <w:b w:val="0"/>
          <w:sz w:val="22"/>
          <w:szCs w:val="22"/>
        </w:rPr>
        <w:t>the expenses of the utility or uti</w:t>
      </w:r>
      <w:r w:rsidR="00797B0F" w:rsidRPr="008F290B">
        <w:rPr>
          <w:b w:val="0"/>
          <w:sz w:val="22"/>
          <w:szCs w:val="22"/>
        </w:rPr>
        <w:t xml:space="preserve">lities, political subdivisions, </w:t>
      </w:r>
      <w:r w:rsidRPr="008F290B">
        <w:rPr>
          <w:b w:val="0"/>
          <w:sz w:val="22"/>
          <w:szCs w:val="22"/>
        </w:rPr>
        <w:t>municipality or municipalities, governmental agency, including</w:t>
      </w:r>
      <w:r w:rsidR="00797B0F" w:rsidRPr="008F290B">
        <w:rPr>
          <w:b w:val="0"/>
          <w:sz w:val="22"/>
          <w:szCs w:val="22"/>
        </w:rPr>
        <w:t xml:space="preserve"> </w:t>
      </w:r>
      <w:r w:rsidRPr="008F290B">
        <w:rPr>
          <w:b w:val="0"/>
          <w:sz w:val="22"/>
          <w:szCs w:val="22"/>
        </w:rPr>
        <w:t>the Department of  Transportation and Public Utility Commission, corporation or persons under whose instigation, petition or complaint the said crossing was constructed, reconstructed, relocated, altered or</w:t>
      </w:r>
      <w:r w:rsidR="00797B0F" w:rsidRPr="008F290B">
        <w:rPr>
          <w:b w:val="0"/>
          <w:sz w:val="22"/>
          <w:szCs w:val="22"/>
        </w:rPr>
        <w:t xml:space="preserve"> </w:t>
      </w:r>
      <w:r w:rsidRPr="008F290B">
        <w:rPr>
          <w:b w:val="0"/>
          <w:sz w:val="22"/>
          <w:szCs w:val="22"/>
        </w:rPr>
        <w:t>abolished, as may be ordered to bear such expense of recording by the Commission; provided that when such appropriation of real property</w:t>
      </w:r>
      <w:r w:rsidR="00797B0F" w:rsidRPr="008F290B">
        <w:rPr>
          <w:b w:val="0"/>
          <w:sz w:val="22"/>
          <w:szCs w:val="22"/>
        </w:rPr>
        <w:t xml:space="preserve"> </w:t>
      </w:r>
      <w:r w:rsidRPr="008F290B">
        <w:rPr>
          <w:b w:val="0"/>
          <w:sz w:val="22"/>
          <w:szCs w:val="22"/>
        </w:rPr>
        <w:t>has been recorded under the provisions of any other statute, such recording shall not be duplicated under the terms of this section."</w:t>
      </w:r>
    </w:p>
    <w:p w:rsidR="00D374A6" w:rsidRPr="008F290B" w:rsidRDefault="00D374A6">
      <w:pPr>
        <w:ind w:left="432" w:right="720"/>
        <w:jc w:val="both"/>
        <w:rPr>
          <w:sz w:val="22"/>
          <w:szCs w:val="22"/>
        </w:rPr>
      </w:pPr>
    </w:p>
    <w:p w:rsidR="00D374A6" w:rsidRPr="008F290B" w:rsidRDefault="00D374A6">
      <w:pPr>
        <w:ind w:left="432" w:right="720"/>
        <w:jc w:val="both"/>
        <w:rPr>
          <w:sz w:val="22"/>
          <w:szCs w:val="22"/>
        </w:rPr>
      </w:pPr>
      <w:r w:rsidRPr="008F290B">
        <w:rPr>
          <w:sz w:val="22"/>
          <w:szCs w:val="22"/>
        </w:rPr>
        <w:t xml:space="preserve">     Kindly advise at your earliest convenience the date of recording and the volume and page at which this order is recorded in your records and return to the Commission.</w:t>
      </w:r>
    </w:p>
    <w:p w:rsidR="00D374A6" w:rsidRPr="008F290B" w:rsidRDefault="008F290B">
      <w:pPr>
        <w:ind w:left="432" w:right="720"/>
        <w:jc w:val="both"/>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2254250</wp:posOffset>
            </wp:positionH>
            <wp:positionV relativeFrom="paragraph">
              <wp:posOffset>151765</wp:posOffset>
            </wp:positionV>
            <wp:extent cx="220027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374A6" w:rsidRPr="008F290B" w:rsidRDefault="00000432">
      <w:pPr>
        <w:tabs>
          <w:tab w:val="center" w:pos="5256"/>
          <w:tab w:val="left" w:pos="5472"/>
          <w:tab w:val="left" w:pos="6192"/>
          <w:tab w:val="left" w:pos="6912"/>
          <w:tab w:val="left" w:pos="7632"/>
          <w:tab w:val="left" w:pos="8352"/>
          <w:tab w:val="left" w:pos="9072"/>
          <w:tab w:val="left" w:pos="9792"/>
        </w:tabs>
        <w:ind w:left="432" w:right="720"/>
        <w:jc w:val="both"/>
        <w:rPr>
          <w:sz w:val="22"/>
          <w:szCs w:val="22"/>
        </w:rPr>
      </w:pPr>
      <w:r w:rsidRPr="008F290B">
        <w:rPr>
          <w:sz w:val="22"/>
          <w:szCs w:val="22"/>
        </w:rPr>
        <w:tab/>
      </w:r>
      <w:r w:rsidR="00D374A6" w:rsidRPr="008F290B">
        <w:rPr>
          <w:sz w:val="22"/>
          <w:szCs w:val="22"/>
        </w:rPr>
        <w:t>Very truly yours,</w:t>
      </w:r>
    </w:p>
    <w:p w:rsidR="00D374A6" w:rsidRPr="008F290B" w:rsidRDefault="00D374A6" w:rsidP="008523C2">
      <w:pPr>
        <w:tabs>
          <w:tab w:val="center" w:pos="5256"/>
          <w:tab w:val="left" w:pos="5472"/>
          <w:tab w:val="left" w:pos="6192"/>
          <w:tab w:val="left" w:pos="6912"/>
          <w:tab w:val="left" w:pos="7632"/>
          <w:tab w:val="left" w:pos="8352"/>
          <w:tab w:val="left" w:pos="9072"/>
          <w:tab w:val="left" w:pos="9792"/>
        </w:tabs>
        <w:ind w:left="432" w:right="720"/>
        <w:rPr>
          <w:sz w:val="22"/>
          <w:szCs w:val="22"/>
        </w:rPr>
      </w:pPr>
    </w:p>
    <w:p w:rsidR="008523C2" w:rsidRPr="008F290B" w:rsidRDefault="008523C2" w:rsidP="008523C2">
      <w:pPr>
        <w:tabs>
          <w:tab w:val="center" w:pos="5256"/>
          <w:tab w:val="left" w:pos="5472"/>
          <w:tab w:val="left" w:pos="6192"/>
          <w:tab w:val="left" w:pos="6912"/>
          <w:tab w:val="left" w:pos="7632"/>
          <w:tab w:val="left" w:pos="8352"/>
          <w:tab w:val="left" w:pos="9072"/>
          <w:tab w:val="left" w:pos="9792"/>
        </w:tabs>
        <w:ind w:left="432" w:right="720"/>
        <w:rPr>
          <w:sz w:val="22"/>
          <w:szCs w:val="22"/>
        </w:rPr>
      </w:pPr>
    </w:p>
    <w:p w:rsidR="008523C2" w:rsidRPr="008F290B" w:rsidRDefault="008523C2" w:rsidP="008523C2">
      <w:pPr>
        <w:tabs>
          <w:tab w:val="center" w:pos="5256"/>
          <w:tab w:val="left" w:pos="5472"/>
          <w:tab w:val="left" w:pos="6192"/>
          <w:tab w:val="left" w:pos="6912"/>
          <w:tab w:val="left" w:pos="7632"/>
          <w:tab w:val="left" w:pos="8352"/>
          <w:tab w:val="left" w:pos="9072"/>
          <w:tab w:val="left" w:pos="9792"/>
        </w:tabs>
        <w:ind w:left="432" w:right="720"/>
        <w:rPr>
          <w:sz w:val="22"/>
          <w:szCs w:val="22"/>
        </w:rPr>
      </w:pPr>
    </w:p>
    <w:p w:rsidR="0024184C" w:rsidRPr="008F290B" w:rsidRDefault="0024184C">
      <w:pPr>
        <w:tabs>
          <w:tab w:val="center" w:pos="5256"/>
          <w:tab w:val="left" w:pos="5472"/>
          <w:tab w:val="left" w:pos="6192"/>
          <w:tab w:val="left" w:pos="6912"/>
          <w:tab w:val="left" w:pos="7632"/>
          <w:tab w:val="left" w:pos="8352"/>
          <w:tab w:val="left" w:pos="9072"/>
          <w:tab w:val="left" w:pos="9792"/>
        </w:tabs>
        <w:ind w:left="432" w:right="720"/>
        <w:jc w:val="center"/>
        <w:rPr>
          <w:sz w:val="22"/>
          <w:szCs w:val="22"/>
        </w:rPr>
      </w:pPr>
    </w:p>
    <w:p w:rsidR="00797B0F" w:rsidRPr="008F290B" w:rsidRDefault="00000432" w:rsidP="00797B0F">
      <w:pPr>
        <w:tabs>
          <w:tab w:val="center" w:pos="5256"/>
          <w:tab w:val="left" w:pos="5472"/>
          <w:tab w:val="left" w:pos="6192"/>
          <w:tab w:val="left" w:pos="6912"/>
          <w:tab w:val="left" w:pos="7632"/>
          <w:tab w:val="left" w:pos="8352"/>
          <w:tab w:val="left" w:pos="9072"/>
          <w:tab w:val="left" w:pos="9792"/>
        </w:tabs>
        <w:ind w:left="432" w:right="720"/>
        <w:rPr>
          <w:sz w:val="22"/>
          <w:szCs w:val="22"/>
        </w:rPr>
      </w:pPr>
      <w:r w:rsidRPr="008F290B">
        <w:rPr>
          <w:sz w:val="22"/>
          <w:szCs w:val="22"/>
        </w:rPr>
        <w:tab/>
        <w:t>Rosemary Chiavetta</w:t>
      </w:r>
    </w:p>
    <w:p w:rsidR="00D374A6" w:rsidRPr="008F290B" w:rsidRDefault="00797B0F" w:rsidP="00797B0F">
      <w:pPr>
        <w:tabs>
          <w:tab w:val="center" w:pos="5256"/>
          <w:tab w:val="left" w:pos="5472"/>
          <w:tab w:val="left" w:pos="6192"/>
          <w:tab w:val="left" w:pos="6912"/>
          <w:tab w:val="left" w:pos="7632"/>
          <w:tab w:val="left" w:pos="8352"/>
          <w:tab w:val="left" w:pos="9072"/>
          <w:tab w:val="left" w:pos="9792"/>
        </w:tabs>
        <w:ind w:left="432" w:right="720"/>
        <w:rPr>
          <w:sz w:val="22"/>
          <w:szCs w:val="22"/>
        </w:rPr>
      </w:pPr>
      <w:r w:rsidRPr="008F290B">
        <w:rPr>
          <w:sz w:val="22"/>
          <w:szCs w:val="22"/>
        </w:rPr>
        <w:t xml:space="preserve">                                                                 </w:t>
      </w:r>
      <w:r w:rsidR="008F290B">
        <w:rPr>
          <w:sz w:val="22"/>
          <w:szCs w:val="22"/>
        </w:rPr>
        <w:tab/>
      </w:r>
      <w:r w:rsidR="00D374A6" w:rsidRPr="008F290B">
        <w:rPr>
          <w:sz w:val="22"/>
          <w:szCs w:val="22"/>
        </w:rPr>
        <w:t>Secretary</w:t>
      </w:r>
    </w:p>
    <w:p w:rsidR="00797B0F" w:rsidRPr="008F290B" w:rsidRDefault="00797B0F">
      <w:pPr>
        <w:ind w:left="432" w:right="720"/>
        <w:jc w:val="both"/>
        <w:rPr>
          <w:sz w:val="22"/>
          <w:szCs w:val="22"/>
        </w:rPr>
      </w:pPr>
    </w:p>
    <w:p w:rsidR="008523C2" w:rsidRPr="008F290B" w:rsidRDefault="00D374A6">
      <w:pPr>
        <w:ind w:left="432" w:right="720"/>
        <w:jc w:val="both"/>
        <w:rPr>
          <w:sz w:val="22"/>
          <w:szCs w:val="22"/>
        </w:rPr>
      </w:pPr>
      <w:r w:rsidRPr="008F290B">
        <w:rPr>
          <w:sz w:val="22"/>
          <w:szCs w:val="22"/>
        </w:rPr>
        <w:t>Enclosure</w:t>
      </w:r>
    </w:p>
    <w:sectPr w:rsidR="008523C2" w:rsidRPr="008F290B" w:rsidSect="008523C2">
      <w:endnotePr>
        <w:numFmt w:val="decimal"/>
      </w:endnotePr>
      <w:pgSz w:w="12240" w:h="15840"/>
      <w:pgMar w:top="360" w:right="720" w:bottom="720" w:left="720" w:header="36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374A6"/>
    <w:rsid w:val="00000432"/>
    <w:rsid w:val="00134B90"/>
    <w:rsid w:val="0024184C"/>
    <w:rsid w:val="004B208B"/>
    <w:rsid w:val="00797B0F"/>
    <w:rsid w:val="007A70F8"/>
    <w:rsid w:val="008523C2"/>
    <w:rsid w:val="008F290B"/>
    <w:rsid w:val="00912CAE"/>
    <w:rsid w:val="00923E3E"/>
    <w:rsid w:val="00D374A6"/>
    <w:rsid w:val="00F1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008"/>
        <w:tab w:val="left" w:pos="-288"/>
        <w:tab w:val="left" w:pos="1152"/>
        <w:tab w:val="left" w:pos="1890"/>
        <w:tab w:val="left" w:pos="2070"/>
        <w:tab w:val="left" w:pos="3312"/>
        <w:tab w:val="left" w:pos="4032"/>
        <w:tab w:val="left" w:pos="4752"/>
        <w:tab w:val="left" w:pos="5472"/>
        <w:tab w:val="left" w:pos="6192"/>
        <w:tab w:val="left" w:pos="6912"/>
        <w:tab w:val="left" w:pos="7632"/>
        <w:tab w:val="left" w:pos="8352"/>
        <w:tab w:val="left" w:pos="9072"/>
        <w:tab w:val="left" w:pos="9792"/>
      </w:tabs>
      <w:ind w:left="2250" w:right="720"/>
      <w:outlineLvl w:val="0"/>
    </w:pPr>
    <w:rPr>
      <w:b/>
      <w:sz w:val="24"/>
    </w:rPr>
  </w:style>
  <w:style w:type="paragraph" w:styleId="Heading2">
    <w:name w:val="heading 2"/>
    <w:basedOn w:val="Normal"/>
    <w:next w:val="Normal"/>
    <w:qFormat/>
    <w:pPr>
      <w:keepNext/>
      <w:tabs>
        <w:tab w:val="left" w:pos="-1008"/>
        <w:tab w:val="left" w:pos="-288"/>
        <w:tab w:val="left" w:pos="1152"/>
        <w:tab w:val="left" w:pos="1890"/>
        <w:tab w:val="left" w:pos="2070"/>
        <w:tab w:val="left" w:pos="3312"/>
        <w:tab w:val="left" w:pos="4032"/>
        <w:tab w:val="left" w:pos="4752"/>
        <w:tab w:val="left" w:pos="5472"/>
        <w:tab w:val="left" w:pos="6192"/>
        <w:tab w:val="left" w:pos="6912"/>
        <w:tab w:val="left" w:pos="7632"/>
        <w:tab w:val="left" w:pos="8352"/>
        <w:tab w:val="left" w:pos="9072"/>
        <w:tab w:val="left" w:pos="9792"/>
      </w:tabs>
      <w:ind w:left="1800" w:right="720"/>
      <w:outlineLvl w:val="1"/>
    </w:pPr>
    <w:rPr>
      <w:b/>
      <w:sz w:val="24"/>
    </w:rPr>
  </w:style>
  <w:style w:type="paragraph" w:styleId="Heading3">
    <w:name w:val="heading 3"/>
    <w:basedOn w:val="Normal"/>
    <w:next w:val="Normal"/>
    <w:qFormat/>
    <w:pPr>
      <w:keepNext/>
      <w:ind w:left="432" w:right="720"/>
      <w:outlineLvl w:val="2"/>
    </w:pPr>
    <w:rPr>
      <w:b/>
      <w:sz w:val="24"/>
    </w:rPr>
  </w:style>
  <w:style w:type="paragraph" w:styleId="Heading4">
    <w:name w:val="heading 4"/>
    <w:basedOn w:val="Normal"/>
    <w:next w:val="Normal"/>
    <w:qFormat/>
    <w:pPr>
      <w:keepNext/>
      <w:ind w:left="432" w:right="720"/>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8F290B"/>
    <w:rPr>
      <w:rFonts w:ascii="Tahoma" w:hAnsi="Tahoma" w:cs="Tahoma"/>
      <w:sz w:val="16"/>
      <w:szCs w:val="16"/>
    </w:rPr>
  </w:style>
  <w:style w:type="character" w:customStyle="1" w:styleId="BalloonTextChar">
    <w:name w:val="Balloon Text Char"/>
    <w:basedOn w:val="DefaultParagraphFont"/>
    <w:link w:val="BalloonText"/>
    <w:rsid w:val="008F2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RECORDER OF DEED</vt:lpstr>
    </vt:vector>
  </TitlesOfParts>
  <Company>PA PUC</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RECORDER OF DEED</dc:title>
  <dc:subject/>
  <dc:creator>GORSKI</dc:creator>
  <cp:keywords/>
  <cp:lastModifiedBy>Administrator</cp:lastModifiedBy>
  <cp:revision>2</cp:revision>
  <cp:lastPrinted>2011-03-21T12:36:00Z</cp:lastPrinted>
  <dcterms:created xsi:type="dcterms:W3CDTF">2011-03-21T12:36:00Z</dcterms:created>
  <dcterms:modified xsi:type="dcterms:W3CDTF">2011-03-21T12:36:00Z</dcterms:modified>
</cp:coreProperties>
</file>